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D8" w:rsidRDefault="00A771D8" w:rsidP="00A771D8">
      <w:pPr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p w:rsidR="00A771D8" w:rsidRDefault="00A771D8" w:rsidP="00A771D8">
      <w:pPr>
        <w:spacing w:line="360" w:lineRule="auto"/>
        <w:rPr>
          <w:rFonts w:ascii="黑体" w:eastAsia="黑体"/>
        </w:rPr>
      </w:pPr>
    </w:p>
    <w:p w:rsidR="00A771D8" w:rsidRDefault="00A771D8" w:rsidP="00A771D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2017</w:t>
      </w:r>
      <w:r>
        <w:rPr>
          <w:rFonts w:ascii="方正小标宋简体" w:eastAsia="方正小标宋简体" w:hint="eastAsia"/>
          <w:sz w:val="44"/>
          <w:szCs w:val="44"/>
        </w:rPr>
        <w:t>年成都市生态环保</w:t>
      </w:r>
    </w:p>
    <w:p w:rsidR="00A771D8" w:rsidRDefault="00A771D8" w:rsidP="00A771D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创新创业大赛方案</w:t>
      </w:r>
    </w:p>
    <w:p w:rsidR="00A771D8" w:rsidRDefault="00A771D8" w:rsidP="00A771D8">
      <w:pPr>
        <w:spacing w:line="640" w:lineRule="exact"/>
        <w:jc w:val="center"/>
        <w:rPr>
          <w:rFonts w:ascii="宋体" w:cs="宋体"/>
          <w:b/>
          <w:bCs/>
          <w:sz w:val="36"/>
          <w:szCs w:val="36"/>
        </w:rPr>
      </w:pPr>
    </w:p>
    <w:p w:rsidR="00A771D8" w:rsidRDefault="00A771D8" w:rsidP="00A771D8">
      <w:pPr>
        <w:spacing w:line="55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一、目的意义</w:t>
      </w:r>
    </w:p>
    <w:p w:rsidR="00A771D8" w:rsidRDefault="00A771D8" w:rsidP="00A771D8">
      <w:pPr>
        <w:ind w:firstLineChars="200" w:firstLine="640"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t> </w:t>
      </w:r>
      <w:r>
        <w:rPr>
          <w:rFonts w:ascii="仿宋_GB2312" w:eastAsia="仿宋_GB2312" w:hint="eastAsia"/>
        </w:rPr>
        <w:t>为响应国家鼓励科研工作者创新创业的号召，提高科研工作者在环保领域创新创业的激情，成都市科学技术协会、成都市经济和信息化委员会、成都市环境保护局、金堂县人民政府决定围绕“双创促升级、壮大新动能”主题，举办成都市首届生态环保创新创业大赛。通过大赛，助推一批具有市场潜力的科技成果脱颖而出，促进生态环保领域产学研深度融合，提升生态环保行业活力，引领成都绿色健康发展。</w:t>
      </w:r>
    </w:p>
    <w:p w:rsidR="00A771D8" w:rsidRDefault="00A771D8" w:rsidP="00A771D8">
      <w:pPr>
        <w:spacing w:line="55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二、活动组织</w:t>
      </w:r>
    </w:p>
    <w:p w:rsidR="00A771D8" w:rsidRDefault="00A771D8" w:rsidP="00A771D8">
      <w:pPr>
        <w:ind w:firstLineChars="200" w:firstLine="640"/>
        <w:jc w:val="left"/>
        <w:rPr>
          <w:rFonts w:ascii="仿宋_GB2312" w:eastAsia="仿宋_GB2312"/>
        </w:rPr>
      </w:pPr>
      <w:r>
        <w:rPr>
          <w:rFonts w:ascii="楷体_GB2312" w:eastAsia="楷体_GB2312" w:hint="eastAsia"/>
        </w:rPr>
        <w:t>主办单位：</w:t>
      </w:r>
      <w:r>
        <w:rPr>
          <w:rFonts w:ascii="仿宋_GB2312" w:eastAsia="仿宋_GB2312" w:hint="eastAsia"/>
        </w:rPr>
        <w:t>成都市科学技术协会、成都市经济和信息化委员会、成都市环境保护局、金堂县人民政府</w:t>
      </w:r>
    </w:p>
    <w:p w:rsidR="00A771D8" w:rsidRDefault="00A771D8" w:rsidP="00A771D8">
      <w:pPr>
        <w:spacing w:line="550" w:lineRule="exact"/>
        <w:ind w:firstLineChars="200" w:firstLine="640"/>
        <w:rPr>
          <w:rFonts w:ascii="仿宋_GB2312" w:eastAsia="仿宋_GB2312"/>
        </w:rPr>
      </w:pPr>
      <w:r>
        <w:rPr>
          <w:rFonts w:ascii="楷体_GB2312" w:eastAsia="楷体_GB2312" w:hint="eastAsia"/>
        </w:rPr>
        <w:t>承办单位：</w:t>
      </w:r>
      <w:r>
        <w:rPr>
          <w:rFonts w:ascii="仿宋_GB2312" w:eastAsia="仿宋_GB2312" w:hint="eastAsia"/>
        </w:rPr>
        <w:t>成都市环境科学学会、金堂县科学技术协会</w:t>
      </w:r>
    </w:p>
    <w:p w:rsidR="00A771D8" w:rsidRDefault="00A771D8" w:rsidP="00A771D8">
      <w:pPr>
        <w:spacing w:line="550" w:lineRule="exact"/>
        <w:ind w:firstLineChars="200" w:firstLine="640"/>
        <w:rPr>
          <w:rFonts w:ascii="仿宋_GB2312" w:eastAsia="仿宋_GB2312"/>
        </w:rPr>
      </w:pPr>
      <w:r>
        <w:rPr>
          <w:rFonts w:ascii="楷体_GB2312" w:eastAsia="楷体_GB2312" w:hint="eastAsia"/>
        </w:rPr>
        <w:t>协办单位：</w:t>
      </w:r>
      <w:r>
        <w:rPr>
          <w:rFonts w:ascii="仿宋_GB2312" w:eastAsia="仿宋_GB2312" w:hint="eastAsia"/>
        </w:rPr>
        <w:t>四川大学、西南交通大学、成都理工大学、四川农业大学、电子科技大学、成都信息工程大学、西华大学、四川师范大学、西南石油大学、成都大学、成都工业学院、中国科学院成都生物研究所、生态文明（温江）研究中心</w:t>
      </w:r>
    </w:p>
    <w:p w:rsidR="00A771D8" w:rsidRDefault="00A771D8" w:rsidP="00A771D8">
      <w:pPr>
        <w:spacing w:line="55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三、参赛要求</w:t>
      </w:r>
    </w:p>
    <w:p w:rsidR="00A771D8" w:rsidRDefault="00A771D8" w:rsidP="00A771D8">
      <w:pPr>
        <w:spacing w:line="550" w:lineRule="exact"/>
        <w:ind w:firstLineChars="200" w:firstLine="640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（一）参赛主体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为鼓励差异化竞争，突出参赛项目自身优势，大赛申报表分科研院所类及环保企业类，申报人可根据项目特点自由选择，最终评分将由组委会综合技术创新及实际应用统一</w:t>
      </w:r>
      <w:proofErr w:type="gramStart"/>
      <w:r>
        <w:rPr>
          <w:rFonts w:ascii="仿宋_GB2312" w:eastAsia="仿宋_GB2312" w:hint="eastAsia"/>
        </w:rPr>
        <w:t>考量</w:t>
      </w:r>
      <w:proofErr w:type="gramEnd"/>
      <w:r>
        <w:rPr>
          <w:rFonts w:ascii="仿宋_GB2312" w:eastAsia="仿宋_GB2312" w:hint="eastAsia"/>
        </w:rPr>
        <w:t>。</w:t>
      </w:r>
    </w:p>
    <w:p w:rsidR="00A771D8" w:rsidRDefault="00A771D8" w:rsidP="00A771D8">
      <w:pPr>
        <w:spacing w:line="550" w:lineRule="exact"/>
        <w:ind w:firstLineChars="200" w:firstLine="640"/>
        <w:rPr>
          <w:rFonts w:ascii="楷体_GB2312" w:eastAsia="楷体_GB2312"/>
        </w:rPr>
      </w:pPr>
      <w:r>
        <w:rPr>
          <w:rFonts w:ascii="楷体_GB2312" w:eastAsia="楷体_GB2312" w:hint="eastAsia"/>
        </w:rPr>
        <w:t>（二）项目内容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项目申报主体为成都市范围内环境领域创新创业团队或个人。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项目应充分体现大众创业万众创新的政策导向、发展方向，具备较强的创新性、代表性、展示性。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项目应合法合</w:t>
      </w:r>
      <w:proofErr w:type="gramStart"/>
      <w:r>
        <w:rPr>
          <w:rFonts w:ascii="仿宋_GB2312" w:eastAsia="仿宋_GB2312" w:hint="eastAsia"/>
        </w:rPr>
        <w:t>规</w:t>
      </w:r>
      <w:proofErr w:type="gramEnd"/>
      <w:r>
        <w:rPr>
          <w:rFonts w:ascii="仿宋_GB2312" w:eastAsia="仿宋_GB2312" w:hint="eastAsia"/>
        </w:rPr>
        <w:t>，符合国家产业发展政策和相关管理规定，无知识产权纠纷。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>
        <w:rPr>
          <w:rFonts w:ascii="仿宋_GB2312" w:eastAsia="仿宋_GB2312" w:hint="eastAsia"/>
        </w:rPr>
        <w:t>项目要求为环保领域各类具有应用价值、转化落地潜力的应用型科技技术成果。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5.</w:t>
      </w:r>
      <w:r>
        <w:rPr>
          <w:rFonts w:ascii="仿宋_GB2312" w:eastAsia="仿宋_GB2312" w:hint="eastAsia"/>
        </w:rPr>
        <w:t>项目成果完成时间段要求为</w:t>
      </w:r>
      <w:r>
        <w:rPr>
          <w:rFonts w:ascii="仿宋_GB2312" w:eastAsia="仿宋_GB2312"/>
        </w:rPr>
        <w:t>2015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日</w:t>
      </w:r>
      <w:r>
        <w:rPr>
          <w:rFonts w:ascii="仿宋_GB2312" w:eastAsia="仿宋_GB2312"/>
        </w:rPr>
        <w:t>-2017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/>
        </w:rPr>
        <w:t>7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日。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6.</w:t>
      </w:r>
      <w:r>
        <w:rPr>
          <w:rFonts w:ascii="仿宋_GB2312" w:eastAsia="仿宋_GB2312" w:hint="eastAsia"/>
        </w:rPr>
        <w:t>如项目已通过第三</w:t>
      </w:r>
      <w:proofErr w:type="gramStart"/>
      <w:r>
        <w:rPr>
          <w:rFonts w:ascii="仿宋_GB2312" w:eastAsia="仿宋_GB2312" w:hint="eastAsia"/>
        </w:rPr>
        <w:t>方专业</w:t>
      </w:r>
      <w:proofErr w:type="gramEnd"/>
      <w:r>
        <w:rPr>
          <w:rFonts w:ascii="仿宋_GB2312" w:eastAsia="仿宋_GB2312" w:hint="eastAsia"/>
        </w:rPr>
        <w:t>科技鉴定机构认定，持有科技成果鉴定证书、持有项目成果查新报告、或已设计出项目应用模型，均可作为后期评审加分项。</w:t>
      </w:r>
    </w:p>
    <w:p w:rsidR="00A771D8" w:rsidRDefault="00A771D8" w:rsidP="00A771D8">
      <w:pPr>
        <w:spacing w:line="55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四、评审机制</w:t>
      </w:r>
    </w:p>
    <w:p w:rsidR="00A771D8" w:rsidRDefault="00A771D8" w:rsidP="00A771D8">
      <w:pPr>
        <w:ind w:firstLineChars="200" w:firstLine="640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（一）初赛阶段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初赛满分</w:t>
      </w:r>
      <w:r>
        <w:rPr>
          <w:rFonts w:ascii="仿宋_GB2312" w:eastAsia="仿宋_GB2312"/>
        </w:rPr>
        <w:t>100</w:t>
      </w:r>
      <w:r>
        <w:rPr>
          <w:rFonts w:ascii="仿宋_GB2312" w:eastAsia="仿宋_GB2312" w:hint="eastAsia"/>
        </w:rPr>
        <w:t>分，由</w:t>
      </w:r>
      <w:proofErr w:type="gramStart"/>
      <w:r>
        <w:rPr>
          <w:rFonts w:ascii="仿宋_GB2312" w:eastAsia="仿宋_GB2312" w:hint="eastAsia"/>
        </w:rPr>
        <w:t>微信线</w:t>
      </w:r>
      <w:proofErr w:type="gramEnd"/>
      <w:r>
        <w:rPr>
          <w:rFonts w:ascii="仿宋_GB2312" w:eastAsia="仿宋_GB2312" w:hint="eastAsia"/>
        </w:rPr>
        <w:t>上票选及专家线下评审两环节构成。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proofErr w:type="gramStart"/>
      <w:r>
        <w:rPr>
          <w:rFonts w:ascii="仿宋_GB2312" w:eastAsia="仿宋_GB2312" w:hint="eastAsia"/>
        </w:rPr>
        <w:t>微信线</w:t>
      </w:r>
      <w:proofErr w:type="gramEnd"/>
      <w:r>
        <w:rPr>
          <w:rFonts w:ascii="仿宋_GB2312" w:eastAsia="仿宋_GB2312" w:hint="eastAsia"/>
        </w:rPr>
        <w:t>上票选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线上评分权重占比</w:t>
      </w:r>
      <w:r>
        <w:rPr>
          <w:rFonts w:ascii="仿宋_GB2312" w:eastAsia="仿宋_GB2312"/>
        </w:rPr>
        <w:t>10%</w:t>
      </w:r>
      <w:r>
        <w:rPr>
          <w:rFonts w:ascii="仿宋_GB2312" w:eastAsia="仿宋_GB2312" w:hint="eastAsia"/>
        </w:rPr>
        <w:t>。同</w:t>
      </w:r>
      <w:proofErr w:type="gramStart"/>
      <w:r>
        <w:rPr>
          <w:rFonts w:ascii="仿宋_GB2312" w:eastAsia="仿宋_GB2312" w:hint="eastAsia"/>
        </w:rPr>
        <w:t>一微信账户</w:t>
      </w:r>
      <w:proofErr w:type="gramEnd"/>
      <w:r>
        <w:rPr>
          <w:rFonts w:ascii="仿宋_GB2312" w:eastAsia="仿宋_GB2312" w:hint="eastAsia"/>
        </w:rPr>
        <w:t>、</w:t>
      </w:r>
      <w:r>
        <w:rPr>
          <w:rFonts w:ascii="仿宋_GB2312" w:eastAsia="仿宋_GB2312"/>
        </w:rPr>
        <w:t>IP</w:t>
      </w:r>
      <w:r>
        <w:rPr>
          <w:rFonts w:ascii="仿宋_GB2312" w:eastAsia="仿宋_GB2312" w:hint="eastAsia"/>
        </w:rPr>
        <w:t>地址只能投</w:t>
      </w:r>
      <w:r>
        <w:rPr>
          <w:rFonts w:ascii="仿宋_GB2312" w:eastAsia="仿宋_GB2312"/>
        </w:rPr>
        <w:t>1</w:t>
      </w:r>
      <w:r>
        <w:rPr>
          <w:rFonts w:ascii="??_GB2312" w:eastAsia="Times New Roman"/>
        </w:rPr>
        <w:t>票。</w:t>
      </w:r>
      <w:r>
        <w:rPr>
          <w:rFonts w:ascii="仿宋_GB2312" w:eastAsia="仿宋_GB2312" w:hint="eastAsia"/>
        </w:rPr>
        <w:t>得票</w:t>
      </w:r>
      <w:r>
        <w:rPr>
          <w:rFonts w:ascii="仿宋_GB2312" w:eastAsia="仿宋_GB2312"/>
        </w:rPr>
        <w:t>200</w:t>
      </w:r>
      <w:r>
        <w:rPr>
          <w:rFonts w:ascii="仿宋_GB2312" w:eastAsia="仿宋_GB2312" w:hint="eastAsia"/>
        </w:rPr>
        <w:t>票以上参赛项目可进入线下评审环节，得票不足</w:t>
      </w:r>
      <w:r>
        <w:rPr>
          <w:rFonts w:ascii="仿宋_GB2312" w:eastAsia="仿宋_GB2312"/>
        </w:rPr>
        <w:t>200</w:t>
      </w:r>
      <w:proofErr w:type="gramStart"/>
      <w:r>
        <w:rPr>
          <w:rFonts w:ascii="仿宋_GB2312" w:eastAsia="仿宋_GB2312" w:hint="eastAsia"/>
        </w:rPr>
        <w:t>票项目</w:t>
      </w:r>
      <w:proofErr w:type="gramEnd"/>
      <w:r>
        <w:rPr>
          <w:rFonts w:ascii="仿宋_GB2312" w:eastAsia="仿宋_GB2312" w:hint="eastAsia"/>
        </w:rPr>
        <w:t>将自动失去线下评审资格。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专家线下评审</w:t>
      </w:r>
    </w:p>
    <w:p w:rsidR="00A771D8" w:rsidRDefault="00A771D8" w:rsidP="00A771D8">
      <w:pPr>
        <w:spacing w:line="57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专家线下评审权重占比</w:t>
      </w:r>
      <w:r>
        <w:rPr>
          <w:rFonts w:ascii="仿宋_GB2312" w:eastAsia="仿宋_GB2312"/>
        </w:rPr>
        <w:t>90%</w:t>
      </w:r>
      <w:r>
        <w:rPr>
          <w:rFonts w:ascii="仿宋_GB2312" w:eastAsia="仿宋_GB2312" w:hint="eastAsia"/>
        </w:rPr>
        <w:t>。评审工作由成都市环境科学学会科技评价工作委员会牵头负责。</w:t>
      </w:r>
    </w:p>
    <w:p w:rsidR="00A771D8" w:rsidRDefault="00A771D8" w:rsidP="00A771D8">
      <w:pPr>
        <w:ind w:firstLineChars="200" w:firstLine="640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（二）决赛阶段</w:t>
      </w:r>
    </w:p>
    <w:p w:rsidR="00A771D8" w:rsidRDefault="00A771D8" w:rsidP="00A771D8">
      <w:pPr>
        <w:spacing w:line="55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决赛满分</w:t>
      </w:r>
      <w:r>
        <w:rPr>
          <w:rFonts w:ascii="仿宋_GB2312" w:eastAsia="仿宋_GB2312"/>
        </w:rPr>
        <w:t>100</w:t>
      </w:r>
      <w:r>
        <w:rPr>
          <w:rFonts w:ascii="仿宋_GB2312" w:eastAsia="仿宋_GB2312" w:hint="eastAsia"/>
        </w:rPr>
        <w:t>分，由知名专家、知名环保企业、投资机构、专业媒体机构共同评价得出。</w:t>
      </w:r>
    </w:p>
    <w:p w:rsidR="00A771D8" w:rsidRDefault="00A771D8" w:rsidP="00A771D8">
      <w:pPr>
        <w:spacing w:line="55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评分权重：知名专家</w:t>
      </w:r>
      <w:proofErr w:type="gramStart"/>
      <w:r>
        <w:rPr>
          <w:rFonts w:ascii="仿宋_GB2312" w:eastAsia="仿宋_GB2312" w:hint="eastAsia"/>
        </w:rPr>
        <w:t>评价占</w:t>
      </w:r>
      <w:proofErr w:type="gramEnd"/>
      <w:r>
        <w:rPr>
          <w:rFonts w:ascii="仿宋_GB2312" w:eastAsia="仿宋_GB2312" w:hint="eastAsia"/>
        </w:rPr>
        <w:t>比</w:t>
      </w:r>
      <w:r>
        <w:rPr>
          <w:rFonts w:ascii="仿宋_GB2312" w:eastAsia="仿宋_GB2312"/>
        </w:rPr>
        <w:t>40%</w:t>
      </w:r>
      <w:r>
        <w:rPr>
          <w:rFonts w:ascii="仿宋_GB2312" w:eastAsia="仿宋_GB2312" w:hint="eastAsia"/>
        </w:rPr>
        <w:t>，知名环保企业、投资机构</w:t>
      </w:r>
      <w:proofErr w:type="gramStart"/>
      <w:r>
        <w:rPr>
          <w:rFonts w:ascii="仿宋_GB2312" w:eastAsia="仿宋_GB2312" w:hint="eastAsia"/>
        </w:rPr>
        <w:t>评价占</w:t>
      </w:r>
      <w:proofErr w:type="gramEnd"/>
      <w:r>
        <w:rPr>
          <w:rFonts w:ascii="仿宋_GB2312" w:eastAsia="仿宋_GB2312" w:hint="eastAsia"/>
        </w:rPr>
        <w:t>比</w:t>
      </w:r>
      <w:r>
        <w:rPr>
          <w:rFonts w:ascii="仿宋_GB2312" w:eastAsia="仿宋_GB2312"/>
        </w:rPr>
        <w:t>40%</w:t>
      </w:r>
      <w:r>
        <w:rPr>
          <w:rFonts w:ascii="仿宋_GB2312" w:eastAsia="仿宋_GB2312" w:hint="eastAsia"/>
        </w:rPr>
        <w:t>，专业媒体机构</w:t>
      </w:r>
      <w:proofErr w:type="gramStart"/>
      <w:r>
        <w:rPr>
          <w:rFonts w:ascii="仿宋_GB2312" w:eastAsia="仿宋_GB2312" w:hint="eastAsia"/>
        </w:rPr>
        <w:t>评价占</w:t>
      </w:r>
      <w:proofErr w:type="gramEnd"/>
      <w:r>
        <w:rPr>
          <w:rFonts w:ascii="仿宋_GB2312" w:eastAsia="仿宋_GB2312" w:hint="eastAsia"/>
        </w:rPr>
        <w:t>比</w:t>
      </w:r>
      <w:r>
        <w:rPr>
          <w:rFonts w:ascii="仿宋_GB2312" w:eastAsia="仿宋_GB2312"/>
        </w:rPr>
        <w:t>20%</w:t>
      </w:r>
      <w:r>
        <w:rPr>
          <w:rFonts w:ascii="仿宋_GB2312" w:eastAsia="仿宋_GB2312" w:hint="eastAsia"/>
        </w:rPr>
        <w:t>。</w:t>
      </w:r>
    </w:p>
    <w:p w:rsidR="00A771D8" w:rsidRDefault="00A771D8" w:rsidP="00A771D8">
      <w:pPr>
        <w:spacing w:line="55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成都市环境科学学会将对评审全程把关，确保评审结果专业、公正。</w:t>
      </w:r>
    </w:p>
    <w:p w:rsidR="00A771D8" w:rsidRDefault="00A771D8" w:rsidP="00A771D8">
      <w:pPr>
        <w:spacing w:line="55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五、大赛赛程</w:t>
      </w:r>
    </w:p>
    <w:p w:rsidR="00A771D8" w:rsidRDefault="00A771D8" w:rsidP="00A771D8">
      <w:pPr>
        <w:spacing w:line="55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本次大赛分</w:t>
      </w:r>
      <w:proofErr w:type="gramStart"/>
      <w:r>
        <w:rPr>
          <w:rFonts w:ascii="仿宋_GB2312" w:eastAsia="仿宋_GB2312" w:hint="eastAsia"/>
        </w:rPr>
        <w:t>项目海</w:t>
      </w:r>
      <w:proofErr w:type="gramEnd"/>
      <w:r>
        <w:rPr>
          <w:rFonts w:ascii="仿宋_GB2312" w:eastAsia="仿宋_GB2312" w:hint="eastAsia"/>
        </w:rPr>
        <w:t>选、项目初选、项目决赛三大环节。</w:t>
      </w:r>
    </w:p>
    <w:p w:rsidR="00A771D8" w:rsidRDefault="00A771D8" w:rsidP="00A771D8">
      <w:pPr>
        <w:spacing w:line="550" w:lineRule="exact"/>
        <w:ind w:firstLineChars="200" w:firstLine="640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（一）</w:t>
      </w:r>
      <w:proofErr w:type="gramStart"/>
      <w:r>
        <w:rPr>
          <w:rFonts w:ascii="楷体_GB2312" w:eastAsia="楷体_GB2312" w:hint="eastAsia"/>
        </w:rPr>
        <w:t>项目海</w:t>
      </w:r>
      <w:proofErr w:type="gramEnd"/>
      <w:r>
        <w:rPr>
          <w:rFonts w:ascii="楷体_GB2312" w:eastAsia="楷体_GB2312" w:hint="eastAsia"/>
        </w:rPr>
        <w:t>选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530"/>
      </w:tblGrid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>-8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开通报名通道，接受项目报名</w:t>
            </w:r>
          </w:p>
        </w:tc>
      </w:tr>
    </w:tbl>
    <w:p w:rsidR="00A771D8" w:rsidRDefault="00A771D8" w:rsidP="00A771D8">
      <w:pPr>
        <w:numPr>
          <w:ilvl w:val="0"/>
          <w:numId w:val="1"/>
        </w:numPr>
        <w:spacing w:line="550" w:lineRule="exact"/>
        <w:ind w:firstLineChars="200" w:firstLine="640"/>
        <w:rPr>
          <w:rFonts w:ascii="楷体_GB2312" w:eastAsia="楷体_GB2312"/>
        </w:rPr>
      </w:pPr>
      <w:r>
        <w:rPr>
          <w:rFonts w:ascii="楷体_GB2312" w:eastAsia="楷体_GB2312" w:hint="eastAsia"/>
        </w:rPr>
        <w:t>项目初选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530"/>
      </w:tblGrid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>-9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微信线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上票选</w:t>
            </w:r>
          </w:p>
        </w:tc>
      </w:tr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项目初选评审会（专家线下评审）</w:t>
            </w:r>
          </w:p>
        </w:tc>
      </w:tr>
    </w:tbl>
    <w:p w:rsidR="00A771D8" w:rsidRDefault="00A771D8" w:rsidP="00A771D8">
      <w:pPr>
        <w:spacing w:line="550" w:lineRule="exact"/>
        <w:ind w:firstLine="640"/>
        <w:rPr>
          <w:rFonts w:ascii="楷体_GB2312" w:eastAsia="楷体_GB2312"/>
        </w:rPr>
      </w:pPr>
      <w:r>
        <w:rPr>
          <w:rFonts w:ascii="楷体_GB2312" w:eastAsia="楷体_GB2312" w:hint="eastAsia"/>
        </w:rPr>
        <w:t>（三）项目决赛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530"/>
      </w:tblGrid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决赛圈沟通会</w:t>
            </w:r>
          </w:p>
        </w:tc>
      </w:tr>
      <w:tr w:rsidR="00A771D8" w:rsidTr="001E5D60">
        <w:tc>
          <w:tcPr>
            <w:tcW w:w="4531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</w:tcPr>
          <w:p w:rsidR="00A771D8" w:rsidRDefault="00A771D8" w:rsidP="001E5D60">
            <w:pPr>
              <w:spacing w:line="55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现场决赛</w:t>
            </w:r>
          </w:p>
        </w:tc>
      </w:tr>
    </w:tbl>
    <w:p w:rsidR="00A771D8" w:rsidRDefault="00A771D8" w:rsidP="00A771D8">
      <w:pPr>
        <w:numPr>
          <w:ilvl w:val="0"/>
          <w:numId w:val="2"/>
        </w:numPr>
        <w:spacing w:line="550" w:lineRule="exact"/>
        <w:ind w:firstLine="640"/>
        <w:rPr>
          <w:rFonts w:ascii="黑体" w:eastAsia="黑体"/>
        </w:rPr>
      </w:pPr>
      <w:r>
        <w:rPr>
          <w:rFonts w:ascii="黑体" w:eastAsia="黑体" w:hint="eastAsia"/>
        </w:rPr>
        <w:t>大赛奖励</w:t>
      </w:r>
    </w:p>
    <w:p w:rsidR="00A771D8" w:rsidRDefault="00A771D8" w:rsidP="00A771D8">
      <w:pPr>
        <w:spacing w:line="55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本次大赛设一等奖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名，奖金</w:t>
      </w:r>
      <w:r>
        <w:rPr>
          <w:rFonts w:ascii="仿宋_GB2312" w:eastAsia="仿宋_GB2312"/>
        </w:rPr>
        <w:t>80</w:t>
      </w:r>
      <w:r>
        <w:rPr>
          <w:rFonts w:ascii="仿宋_GB2312" w:eastAsia="仿宋_GB2312" w:hint="eastAsia"/>
        </w:rPr>
        <w:t>万元人民币；二等奖</w:t>
      </w:r>
      <w:r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名，奖金各</w:t>
      </w:r>
      <w:r>
        <w:rPr>
          <w:rFonts w:ascii="仿宋_GB2312" w:eastAsia="仿宋_GB2312"/>
        </w:rPr>
        <w:t>50</w:t>
      </w:r>
      <w:r>
        <w:rPr>
          <w:rFonts w:ascii="仿宋_GB2312" w:eastAsia="仿宋_GB2312" w:hint="eastAsia"/>
        </w:rPr>
        <w:t>万元人民币；三等奖</w:t>
      </w: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名，奖金各</w:t>
      </w:r>
      <w:r>
        <w:rPr>
          <w:rFonts w:ascii="仿宋_GB2312" w:eastAsia="仿宋_GB2312"/>
        </w:rPr>
        <w:t>30</w:t>
      </w:r>
      <w:r>
        <w:rPr>
          <w:rFonts w:ascii="仿宋_GB2312" w:eastAsia="仿宋_GB2312" w:hint="eastAsia"/>
        </w:rPr>
        <w:t>万元人民币；优胜奖</w:t>
      </w:r>
      <w:r>
        <w:rPr>
          <w:rFonts w:ascii="仿宋_GB2312" w:eastAsia="仿宋_GB2312"/>
        </w:rPr>
        <w:t>4</w:t>
      </w:r>
      <w:r>
        <w:rPr>
          <w:rFonts w:ascii="仿宋_GB2312" w:eastAsia="仿宋_GB2312" w:hint="eastAsia"/>
        </w:rPr>
        <w:t>名。所有获奖者由大赛组委会现场颁发奖杯、荣誉证书，一、二、三等奖奖金兑现方式由项目落户地金堂当年兑现</w:t>
      </w:r>
      <w:r>
        <w:rPr>
          <w:rFonts w:ascii="仿宋_GB2312" w:eastAsia="仿宋_GB2312"/>
        </w:rPr>
        <w:t>70%</w:t>
      </w:r>
      <w:r>
        <w:rPr>
          <w:rFonts w:ascii="仿宋_GB2312" w:eastAsia="仿宋_GB2312" w:hint="eastAsia"/>
        </w:rPr>
        <w:t>，第二年达产兑现</w:t>
      </w:r>
      <w:r>
        <w:rPr>
          <w:rFonts w:ascii="仿宋_GB2312" w:eastAsia="仿宋_GB2312"/>
        </w:rPr>
        <w:t>30%</w:t>
      </w:r>
      <w:r>
        <w:rPr>
          <w:rFonts w:ascii="仿宋_GB2312" w:eastAsia="仿宋_GB2312" w:hint="eastAsia"/>
        </w:rPr>
        <w:t>。</w:t>
      </w:r>
    </w:p>
    <w:p w:rsidR="00A771D8" w:rsidRDefault="00A771D8" w:rsidP="00A771D8">
      <w:pPr>
        <w:wordWrap w:val="0"/>
        <w:spacing w:line="550" w:lineRule="exact"/>
        <w:rPr>
          <w:rFonts w:ascii="仿宋_GB2312" w:eastAsia="仿宋_GB2312"/>
        </w:rPr>
      </w:pPr>
    </w:p>
    <w:p w:rsidR="00A771D8" w:rsidRDefault="00A771D8" w:rsidP="00A771D8">
      <w:pPr>
        <w:spacing w:line="360" w:lineRule="auto"/>
        <w:rPr>
          <w:rFonts w:ascii="??_GB2312" w:eastAsia="Times New Roman"/>
        </w:rPr>
      </w:pPr>
    </w:p>
    <w:p w:rsidR="00F504C6" w:rsidRPr="00A771D8" w:rsidRDefault="007A46AC">
      <w:bookmarkStart w:id="0" w:name="_GoBack"/>
      <w:bookmarkEnd w:id="0"/>
    </w:p>
    <w:sectPr w:rsidR="00F504C6" w:rsidRPr="00A7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AC" w:rsidRDefault="007A46AC" w:rsidP="00A771D8">
      <w:r>
        <w:separator/>
      </w:r>
    </w:p>
  </w:endnote>
  <w:endnote w:type="continuationSeparator" w:id="0">
    <w:p w:rsidR="007A46AC" w:rsidRDefault="007A46AC" w:rsidP="00A7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AC" w:rsidRDefault="007A46AC" w:rsidP="00A771D8">
      <w:r>
        <w:separator/>
      </w:r>
    </w:p>
  </w:footnote>
  <w:footnote w:type="continuationSeparator" w:id="0">
    <w:p w:rsidR="007A46AC" w:rsidRDefault="007A46AC" w:rsidP="00A7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8D01CE"/>
    <w:multiLevelType w:val="singleLevel"/>
    <w:tmpl w:val="598D01CE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24"/>
    <w:rsid w:val="00126024"/>
    <w:rsid w:val="006D3E13"/>
    <w:rsid w:val="007A46AC"/>
    <w:rsid w:val="008F5B65"/>
    <w:rsid w:val="00A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D8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D8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2017-08-11T08:34:00Z</dcterms:created>
  <dcterms:modified xsi:type="dcterms:W3CDTF">2017-08-11T08:34:00Z</dcterms:modified>
</cp:coreProperties>
</file>